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C92DE6" w:rsidRPr="00151511" w:rsidRDefault="00C92DE6" w:rsidP="00BC5E7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D11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99D" w:rsidRPr="00AD199D" w:rsidRDefault="00BC5E79" w:rsidP="00AD199D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троле в Российской Федерации»,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23D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руководствуясь Уставом Муниципального образования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475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Опытненский сельсовет</w:t>
      </w:r>
      <w:r w:rsidR="00AD199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A479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D199D" w:rsidRPr="00AD199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Администрация Опытненского сельсовета </w:t>
      </w:r>
    </w:p>
    <w:p w:rsidR="00C92DE6" w:rsidRPr="00AD199D" w:rsidRDefault="004475F0" w:rsidP="00AD199D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  <w:lang w:eastAsia="ru-RU"/>
        </w:rPr>
        <w:t>ПОСТАНОВЛЯЕТ</w:t>
      </w:r>
      <w:r w:rsidR="00AD199D" w:rsidRPr="00AD199D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  <w:lang w:eastAsia="ru-RU"/>
        </w:rPr>
        <w:t>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</w:t>
      </w:r>
      <w:r w:rsidR="00D11E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ницах населенных пунктов на 2024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приложению.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</w:t>
      </w:r>
      <w:r w:rsidR="00D11E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ницах населенных пунктов на 2024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официальном сайте администрации Опытненского сельсовета</w:t>
      </w:r>
      <w:r w:rsidR="00523D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523DD2" w:rsidRPr="00523D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https://опытное.рф/</w:t>
      </w:r>
      <w:r w:rsidR="00523D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B5878" w:rsidRDefault="000B5878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r w:rsidRPr="000B5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Контроль за исполнением настоящего постановления возложить на специалиста 1 категории администрации </w:t>
      </w:r>
      <w:proofErr w:type="spellStart"/>
      <w:r w:rsidRPr="000B5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</w:t>
      </w:r>
      <w:proofErr w:type="spellEnd"/>
      <w:r w:rsidRPr="000B5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Р.М.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Pr="00FE5D6E" w:rsidRDefault="00FE5D6E" w:rsidP="00BC5E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11E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148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</w:t>
      </w: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D11E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02.10.2023г.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B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 краткосрочный период - 202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лановый период 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6C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E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6C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Аналитическая часть Программы</w:t>
      </w:r>
    </w:p>
    <w:p w:rsidR="009F1969" w:rsidRPr="00F2040D" w:rsidRDefault="00113050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Опытненского </w:t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lastRenderedPageBreak/>
        <w:t>сельсовета , характеристика проблем, на решение которых направлена Программа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F20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Опытненского сельсовета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040D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F20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границах  населенных пунктов  Опытненского сельсовета;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lastRenderedPageBreak/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Опытненского сельсовета, проводятся следующие профилактические мероприятия: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13050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электрическом транспорте и в дорожном хозяйстве в границах населенных пунктов сельского поселения</w:t>
      </w:r>
      <w:r w:rsidR="006B6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16"/>
        <w:gridCol w:w="2234"/>
        <w:gridCol w:w="1936"/>
        <w:gridCol w:w="1878"/>
      </w:tblGrid>
      <w:tr w:rsidR="00C92DE6" w:rsidRPr="00F2040D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проверочных мероприятий юридическим лицам и индивидуальным предпринимателям их прав и обязанностей, порядка проведения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 на официальном интернет-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 адрес юридических лиц, индивидуальных предпринимателей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F2040D" w:rsidRDefault="00113050" w:rsidP="00F204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F2040D" w:rsidRDefault="00113050" w:rsidP="00F204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B6C9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F2040D" w:rsidRDefault="00C45E60" w:rsidP="00F20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F2040D" w:rsidSect="00F204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0B5878"/>
    <w:rsid w:val="00113050"/>
    <w:rsid w:val="00151511"/>
    <w:rsid w:val="001D49B6"/>
    <w:rsid w:val="004475F0"/>
    <w:rsid w:val="004E0459"/>
    <w:rsid w:val="00523DD2"/>
    <w:rsid w:val="00660554"/>
    <w:rsid w:val="00692291"/>
    <w:rsid w:val="006B6C92"/>
    <w:rsid w:val="007769CE"/>
    <w:rsid w:val="007F3C98"/>
    <w:rsid w:val="00892683"/>
    <w:rsid w:val="009F1969"/>
    <w:rsid w:val="00A479D1"/>
    <w:rsid w:val="00AD199D"/>
    <w:rsid w:val="00B06278"/>
    <w:rsid w:val="00BC5E79"/>
    <w:rsid w:val="00C45E60"/>
    <w:rsid w:val="00C92DE6"/>
    <w:rsid w:val="00D11E73"/>
    <w:rsid w:val="00D538AF"/>
    <w:rsid w:val="00F1069A"/>
    <w:rsid w:val="00F2040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18E0-C52C-40B7-8D8C-8D43464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</cp:lastModifiedBy>
  <cp:revision>3</cp:revision>
  <cp:lastPrinted>2023-10-11T06:42:00Z</cp:lastPrinted>
  <dcterms:created xsi:type="dcterms:W3CDTF">2023-10-31T13:39:00Z</dcterms:created>
  <dcterms:modified xsi:type="dcterms:W3CDTF">2023-10-31T13:39:00Z</dcterms:modified>
</cp:coreProperties>
</file>